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EE81" w14:textId="77777777" w:rsidR="00844F96" w:rsidRPr="00844F96" w:rsidRDefault="00844F96" w:rsidP="00844F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r w:rsidR="00F22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оформления ссылок:</w:t>
      </w:r>
    </w:p>
    <w:p w14:paraId="7F536E27" w14:textId="77777777" w:rsidR="00844F96" w:rsidRPr="00844F96" w:rsidRDefault="00844F96" w:rsidP="00844F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References</w:t>
      </w:r>
    </w:p>
    <w:p w14:paraId="3EB5BD36" w14:textId="77777777" w:rsidR="00844F96" w:rsidRPr="00844F96" w:rsidRDefault="00844F96" w:rsidP="00844F96">
      <w:pPr>
        <w:rPr>
          <w:rFonts w:ascii="Times New Roman" w:hAnsi="Times New Roman"/>
          <w:b/>
          <w:sz w:val="24"/>
          <w:szCs w:val="24"/>
        </w:rPr>
      </w:pPr>
      <w:r w:rsidRPr="00844F96">
        <w:rPr>
          <w:rFonts w:ascii="Times New Roman" w:hAnsi="Times New Roman"/>
          <w:b/>
          <w:sz w:val="24"/>
          <w:szCs w:val="24"/>
        </w:rPr>
        <w:t>Русско-язычные статьи</w:t>
      </w:r>
    </w:p>
    <w:p w14:paraId="5D28A1F3" w14:textId="77777777" w:rsidR="00844F96" w:rsidRPr="00844F96" w:rsidRDefault="00844F96" w:rsidP="00844F96">
      <w:pPr>
        <w:rPr>
          <w:sz w:val="24"/>
          <w:szCs w:val="24"/>
        </w:rPr>
      </w:pPr>
      <w:r w:rsidRPr="00844F96">
        <w:rPr>
          <w:rFonts w:ascii="Times New Roman" w:hAnsi="Times New Roman"/>
          <w:sz w:val="24"/>
          <w:szCs w:val="24"/>
        </w:rPr>
        <w:t>Костылева О.И., Герштейн Е.С., Дигаева М.А. Инсулиноподобные факторы роста, их рецепторы и связывающие белки как патогенетические факторы и потенциальные мишени терапии в онкологии. (точка) Вопросы биологической, медицинской и фармацевтической химии. 2009; 6: 3-8</w:t>
      </w:r>
    </w:p>
    <w:p w14:paraId="7AD9BF3D" w14:textId="77777777" w:rsidR="00844F96" w:rsidRPr="00844F96" w:rsidRDefault="00844F96" w:rsidP="00844F96">
      <w:pPr>
        <w:jc w:val="both"/>
        <w:rPr>
          <w:rFonts w:ascii="Times New Roman" w:hAnsi="Times New Roman"/>
          <w:b/>
          <w:sz w:val="24"/>
          <w:szCs w:val="24"/>
        </w:rPr>
      </w:pPr>
      <w:r w:rsidRPr="00844F96">
        <w:rPr>
          <w:rFonts w:ascii="Times New Roman" w:hAnsi="Times New Roman"/>
          <w:b/>
          <w:sz w:val="24"/>
          <w:szCs w:val="24"/>
        </w:rPr>
        <w:t>Транслитерация:</w:t>
      </w:r>
    </w:p>
    <w:p w14:paraId="0E8A90CF" w14:textId="77777777" w:rsidR="00844F96" w:rsidRPr="004B223C" w:rsidRDefault="00844F96" w:rsidP="00844F96">
      <w:pPr>
        <w:jc w:val="both"/>
        <w:rPr>
          <w:rFonts w:ascii="Times New Roman" w:hAnsi="Times New Roman"/>
          <w:sz w:val="24"/>
          <w:szCs w:val="24"/>
        </w:rPr>
      </w:pPr>
      <w:r w:rsidRPr="00844F96">
        <w:rPr>
          <w:rFonts w:ascii="Times New Roman" w:hAnsi="Times New Roman"/>
          <w:sz w:val="24"/>
          <w:szCs w:val="24"/>
          <w:lang w:val="en-US"/>
        </w:rPr>
        <w:t>Kostyleva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844F96">
        <w:rPr>
          <w:rFonts w:ascii="Times New Roman" w:hAnsi="Times New Roman"/>
          <w:sz w:val="24"/>
          <w:szCs w:val="24"/>
          <w:lang w:val="en-US"/>
        </w:rPr>
        <w:t>O</w:t>
      </w:r>
      <w:r w:rsidRPr="00844F96">
        <w:rPr>
          <w:rFonts w:ascii="Times New Roman" w:hAnsi="Times New Roman"/>
          <w:sz w:val="24"/>
          <w:szCs w:val="24"/>
        </w:rPr>
        <w:t>.</w:t>
      </w:r>
      <w:r w:rsidRPr="00844F96">
        <w:rPr>
          <w:rFonts w:ascii="Times New Roman" w:hAnsi="Times New Roman"/>
          <w:sz w:val="24"/>
          <w:szCs w:val="24"/>
          <w:lang w:val="en-US"/>
        </w:rPr>
        <w:t>I</w:t>
      </w:r>
      <w:r w:rsidRPr="00844F96">
        <w:rPr>
          <w:rFonts w:ascii="Times New Roman" w:hAnsi="Times New Roman"/>
          <w:sz w:val="24"/>
          <w:szCs w:val="24"/>
        </w:rPr>
        <w:t xml:space="preserve">., </w:t>
      </w:r>
      <w:r w:rsidRPr="00844F96">
        <w:rPr>
          <w:rFonts w:ascii="Times New Roman" w:hAnsi="Times New Roman"/>
          <w:sz w:val="24"/>
          <w:szCs w:val="24"/>
          <w:lang w:val="en-US"/>
        </w:rPr>
        <w:t>Gershtein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844F96">
        <w:rPr>
          <w:rFonts w:ascii="Times New Roman" w:hAnsi="Times New Roman"/>
          <w:sz w:val="24"/>
          <w:szCs w:val="24"/>
          <w:lang w:val="en-US"/>
        </w:rPr>
        <w:t>E</w:t>
      </w:r>
      <w:r w:rsidRPr="00844F96">
        <w:rPr>
          <w:rFonts w:ascii="Times New Roman" w:hAnsi="Times New Roman"/>
          <w:sz w:val="24"/>
          <w:szCs w:val="24"/>
        </w:rPr>
        <w:t>.</w:t>
      </w:r>
      <w:r w:rsidRPr="00844F96">
        <w:rPr>
          <w:rFonts w:ascii="Times New Roman" w:hAnsi="Times New Roman"/>
          <w:sz w:val="24"/>
          <w:szCs w:val="24"/>
          <w:lang w:val="en-US"/>
        </w:rPr>
        <w:t>S</w:t>
      </w:r>
      <w:r w:rsidRPr="00844F96">
        <w:rPr>
          <w:rFonts w:ascii="Times New Roman" w:hAnsi="Times New Roman"/>
          <w:sz w:val="24"/>
          <w:szCs w:val="24"/>
        </w:rPr>
        <w:t xml:space="preserve">., </w:t>
      </w:r>
      <w:r w:rsidRPr="00844F96">
        <w:rPr>
          <w:rFonts w:ascii="Times New Roman" w:hAnsi="Times New Roman"/>
          <w:sz w:val="24"/>
          <w:szCs w:val="24"/>
          <w:lang w:val="en-US"/>
        </w:rPr>
        <w:t>Digayeva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844F96">
        <w:rPr>
          <w:rFonts w:ascii="Times New Roman" w:hAnsi="Times New Roman"/>
          <w:sz w:val="24"/>
          <w:szCs w:val="24"/>
          <w:lang w:val="en-US"/>
        </w:rPr>
        <w:t>M</w:t>
      </w:r>
      <w:r w:rsidRPr="00844F96">
        <w:rPr>
          <w:rFonts w:ascii="Times New Roman" w:hAnsi="Times New Roman"/>
          <w:sz w:val="24"/>
          <w:szCs w:val="24"/>
        </w:rPr>
        <w:t>.</w:t>
      </w:r>
      <w:r w:rsidRPr="00844F96">
        <w:rPr>
          <w:rFonts w:ascii="Times New Roman" w:hAnsi="Times New Roman"/>
          <w:sz w:val="24"/>
          <w:szCs w:val="24"/>
          <w:lang w:val="en-US"/>
        </w:rPr>
        <w:t>A</w:t>
      </w:r>
      <w:r w:rsidRPr="00844F96">
        <w:rPr>
          <w:rFonts w:ascii="Times New Roman" w:hAnsi="Times New Roman"/>
          <w:sz w:val="24"/>
          <w:szCs w:val="24"/>
        </w:rPr>
        <w:t>.(транслитерация русских авторов. Должны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быть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указаны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ВСЕ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авторы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, et al </w:t>
      </w:r>
      <w:r w:rsidRPr="00844F96">
        <w:rPr>
          <w:rFonts w:ascii="Times New Roman" w:hAnsi="Times New Roman"/>
          <w:sz w:val="24"/>
          <w:szCs w:val="24"/>
        </w:rPr>
        <w:t>не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пишется</w:t>
      </w:r>
      <w:r w:rsidRPr="00844F96">
        <w:rPr>
          <w:rFonts w:ascii="Times New Roman" w:hAnsi="Times New Roman"/>
          <w:sz w:val="24"/>
          <w:szCs w:val="24"/>
          <w:lang w:val="en-US"/>
        </w:rPr>
        <w:t>) Insulin-like growth factors, their receptors and binding proteins as pathogenetic factors and potential therapy targets in oncology (</w:t>
      </w:r>
      <w:r w:rsidRPr="00844F96">
        <w:rPr>
          <w:rFonts w:ascii="Times New Roman" w:hAnsi="Times New Roman"/>
          <w:sz w:val="24"/>
          <w:szCs w:val="24"/>
        </w:rPr>
        <w:t>перевод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названия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на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английский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44F96">
        <w:rPr>
          <w:rFonts w:ascii="Times New Roman" w:hAnsi="Times New Roman"/>
          <w:sz w:val="24"/>
          <w:szCs w:val="24"/>
        </w:rPr>
        <w:t>язык</w:t>
      </w:r>
      <w:r w:rsidRPr="00844F96"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844F96">
        <w:rPr>
          <w:rFonts w:ascii="Times New Roman" w:hAnsi="Times New Roman"/>
          <w:sz w:val="24"/>
          <w:szCs w:val="24"/>
        </w:rPr>
        <w:t xml:space="preserve">(точка) </w:t>
      </w:r>
      <w:r w:rsidRPr="00844F96">
        <w:rPr>
          <w:rFonts w:ascii="Times New Roman" w:hAnsi="Times New Roman"/>
          <w:sz w:val="24"/>
          <w:szCs w:val="24"/>
          <w:lang w:val="en-US"/>
        </w:rPr>
        <w:t>Voprosy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844F96">
        <w:rPr>
          <w:rFonts w:ascii="Times New Roman" w:hAnsi="Times New Roman"/>
          <w:sz w:val="24"/>
          <w:szCs w:val="24"/>
          <w:lang w:val="en-US"/>
        </w:rPr>
        <w:t>biologicheskoy</w:t>
      </w:r>
      <w:r w:rsidRPr="00844F96">
        <w:rPr>
          <w:rFonts w:ascii="Times New Roman" w:hAnsi="Times New Roman"/>
          <w:sz w:val="24"/>
          <w:szCs w:val="24"/>
        </w:rPr>
        <w:t xml:space="preserve">, </w:t>
      </w:r>
      <w:r w:rsidRPr="00844F96">
        <w:rPr>
          <w:rFonts w:ascii="Times New Roman" w:hAnsi="Times New Roman"/>
          <w:sz w:val="24"/>
          <w:szCs w:val="24"/>
          <w:lang w:val="en-US"/>
        </w:rPr>
        <w:t>meditsinskoy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844F96">
        <w:rPr>
          <w:rFonts w:ascii="Times New Roman" w:hAnsi="Times New Roman"/>
          <w:sz w:val="24"/>
          <w:szCs w:val="24"/>
          <w:lang w:val="en-US"/>
        </w:rPr>
        <w:t>i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844F96">
        <w:rPr>
          <w:rFonts w:ascii="Times New Roman" w:hAnsi="Times New Roman"/>
          <w:sz w:val="24"/>
          <w:szCs w:val="24"/>
          <w:lang w:val="en-US"/>
        </w:rPr>
        <w:t>pharmatsevticheskoy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844F96">
        <w:rPr>
          <w:rFonts w:ascii="Times New Roman" w:hAnsi="Times New Roman"/>
          <w:sz w:val="24"/>
          <w:szCs w:val="24"/>
          <w:lang w:val="en-US"/>
        </w:rPr>
        <w:t>khimii</w:t>
      </w:r>
      <w:r w:rsidRPr="00844F96">
        <w:rPr>
          <w:rFonts w:ascii="Times New Roman" w:hAnsi="Times New Roman"/>
          <w:sz w:val="24"/>
          <w:szCs w:val="24"/>
        </w:rPr>
        <w:t xml:space="preserve"> (название журнала в транслитерации должно совпадать с транслитерированным названием журнала, которое зарегистрировано при включении в международные базы данных) 2009; 6: 3-8.</w:t>
      </w:r>
    </w:p>
    <w:p w14:paraId="74E1FC3C" w14:textId="77777777" w:rsidR="00844F96" w:rsidRPr="00844F96" w:rsidRDefault="00844F96" w:rsidP="00844F96">
      <w:pPr>
        <w:rPr>
          <w:rFonts w:ascii="Times New Roman" w:hAnsi="Times New Roman" w:cs="Times New Roman"/>
          <w:b/>
          <w:sz w:val="24"/>
          <w:szCs w:val="24"/>
        </w:rPr>
      </w:pPr>
      <w:r w:rsidRPr="004B223C">
        <w:rPr>
          <w:rFonts w:ascii="Times New Roman" w:hAnsi="Times New Roman" w:cs="Times New Roman"/>
          <w:b/>
          <w:sz w:val="24"/>
          <w:szCs w:val="24"/>
        </w:rPr>
        <w:t>Англоязычные</w:t>
      </w:r>
      <w:r w:rsidRPr="00844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23C">
        <w:rPr>
          <w:rFonts w:ascii="Times New Roman" w:hAnsi="Times New Roman" w:cs="Times New Roman"/>
          <w:b/>
          <w:sz w:val="24"/>
          <w:szCs w:val="24"/>
        </w:rPr>
        <w:t>статьи</w:t>
      </w:r>
    </w:p>
    <w:p w14:paraId="1C967BFD" w14:textId="77777777" w:rsidR="00844F96" w:rsidRPr="00844F96" w:rsidRDefault="00844F96" w:rsidP="00844F96">
      <w:pPr>
        <w:rPr>
          <w:rFonts w:ascii="Times New Roman" w:hAnsi="Times New Roman"/>
          <w:sz w:val="24"/>
          <w:szCs w:val="24"/>
        </w:rPr>
      </w:pPr>
      <w:r w:rsidRPr="004B223C">
        <w:rPr>
          <w:rFonts w:ascii="Times New Roman" w:hAnsi="Times New Roman"/>
          <w:sz w:val="24"/>
          <w:szCs w:val="24"/>
          <w:lang w:val="en-US"/>
        </w:rPr>
        <w:t>Durai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R</w:t>
      </w:r>
      <w:r w:rsidRPr="00844F96">
        <w:rPr>
          <w:rFonts w:ascii="Times New Roman" w:hAnsi="Times New Roman"/>
          <w:sz w:val="24"/>
          <w:szCs w:val="24"/>
        </w:rPr>
        <w:t xml:space="preserve">., </w:t>
      </w:r>
      <w:r w:rsidRPr="004B223C">
        <w:rPr>
          <w:rFonts w:ascii="Times New Roman" w:hAnsi="Times New Roman"/>
          <w:sz w:val="24"/>
          <w:szCs w:val="24"/>
          <w:lang w:val="en-US"/>
        </w:rPr>
        <w:t>Yang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W</w:t>
      </w:r>
      <w:r w:rsidRPr="00844F96">
        <w:rPr>
          <w:rFonts w:ascii="Times New Roman" w:hAnsi="Times New Roman"/>
          <w:sz w:val="24"/>
          <w:szCs w:val="24"/>
        </w:rPr>
        <w:t xml:space="preserve">., </w:t>
      </w:r>
      <w:r w:rsidRPr="004B223C">
        <w:rPr>
          <w:rFonts w:ascii="Times New Roman" w:hAnsi="Times New Roman"/>
          <w:sz w:val="24"/>
          <w:szCs w:val="24"/>
          <w:lang w:val="en-US"/>
        </w:rPr>
        <w:t>Gupta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S</w:t>
      </w:r>
      <w:r w:rsidRPr="00844F96">
        <w:rPr>
          <w:rFonts w:ascii="Times New Roman" w:hAnsi="Times New Roman"/>
          <w:sz w:val="24"/>
          <w:szCs w:val="24"/>
        </w:rPr>
        <w:t xml:space="preserve">.  </w:t>
      </w:r>
      <w:r w:rsidRPr="004B223C">
        <w:rPr>
          <w:rFonts w:ascii="Times New Roman" w:hAnsi="Times New Roman"/>
          <w:sz w:val="24"/>
          <w:szCs w:val="24"/>
          <w:lang w:val="en-US"/>
        </w:rPr>
        <w:t>The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role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of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the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insulin</w:t>
      </w:r>
      <w:r w:rsidRPr="005B5765">
        <w:rPr>
          <w:rFonts w:ascii="Times New Roman" w:hAnsi="Times New Roman"/>
          <w:sz w:val="24"/>
          <w:szCs w:val="24"/>
          <w:lang w:val="en-US"/>
        </w:rPr>
        <w:t>-</w:t>
      </w:r>
      <w:r w:rsidRPr="004B223C">
        <w:rPr>
          <w:rFonts w:ascii="Times New Roman" w:hAnsi="Times New Roman"/>
          <w:sz w:val="24"/>
          <w:szCs w:val="24"/>
          <w:lang w:val="en-US"/>
        </w:rPr>
        <w:t>like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growth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factor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system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in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colorectal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cancer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B223C">
        <w:rPr>
          <w:rFonts w:ascii="Times New Roman" w:hAnsi="Times New Roman"/>
          <w:sz w:val="24"/>
          <w:szCs w:val="24"/>
          <w:lang w:val="en-US"/>
        </w:rPr>
        <w:t>review</w:t>
      </w:r>
      <w:r w:rsidRPr="005B576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 current knowledge</w:t>
      </w:r>
      <w:r w:rsidRPr="00C53D7B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B223C">
        <w:rPr>
          <w:rFonts w:ascii="Times New Roman" w:hAnsi="Times New Roman"/>
          <w:sz w:val="24"/>
          <w:szCs w:val="24"/>
          <w:lang w:val="en-US"/>
        </w:rPr>
        <w:t xml:space="preserve"> Int</w:t>
      </w:r>
      <w:r w:rsidRPr="00844F96">
        <w:rPr>
          <w:rFonts w:ascii="Times New Roman" w:hAnsi="Times New Roman"/>
          <w:sz w:val="24"/>
          <w:szCs w:val="24"/>
        </w:rPr>
        <w:t xml:space="preserve">. </w:t>
      </w:r>
      <w:r w:rsidRPr="004B223C">
        <w:rPr>
          <w:rFonts w:ascii="Times New Roman" w:hAnsi="Times New Roman"/>
          <w:sz w:val="24"/>
          <w:szCs w:val="24"/>
          <w:lang w:val="en-US"/>
        </w:rPr>
        <w:t>J</w:t>
      </w:r>
      <w:r w:rsidRPr="00844F96">
        <w:rPr>
          <w:rFonts w:ascii="Times New Roman" w:hAnsi="Times New Roman"/>
          <w:sz w:val="24"/>
          <w:szCs w:val="24"/>
        </w:rPr>
        <w:t xml:space="preserve">. </w:t>
      </w:r>
      <w:r w:rsidRPr="004B223C">
        <w:rPr>
          <w:rFonts w:ascii="Times New Roman" w:hAnsi="Times New Roman"/>
          <w:sz w:val="24"/>
          <w:szCs w:val="24"/>
          <w:lang w:val="en-US"/>
        </w:rPr>
        <w:t>Colorectal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  <w:lang w:val="en-US"/>
        </w:rPr>
        <w:t>Dis</w:t>
      </w:r>
      <w:r w:rsidRPr="00844F96">
        <w:rPr>
          <w:rFonts w:ascii="Times New Roman" w:hAnsi="Times New Roman"/>
          <w:sz w:val="24"/>
          <w:szCs w:val="24"/>
        </w:rPr>
        <w:t>. 2005; 20(3): 203-20.</w:t>
      </w:r>
    </w:p>
    <w:p w14:paraId="541F6BDB" w14:textId="77777777" w:rsidR="00844F96" w:rsidRPr="00844F96" w:rsidRDefault="00844F96" w:rsidP="00844F96">
      <w:pPr>
        <w:rPr>
          <w:rFonts w:ascii="Times New Roman" w:hAnsi="Times New Roman" w:cs="Times New Roman"/>
          <w:b/>
          <w:sz w:val="24"/>
          <w:szCs w:val="24"/>
        </w:rPr>
      </w:pPr>
      <w:r w:rsidRPr="004B223C">
        <w:rPr>
          <w:rFonts w:ascii="Times New Roman" w:hAnsi="Times New Roman" w:cs="Times New Roman"/>
          <w:b/>
          <w:sz w:val="24"/>
          <w:szCs w:val="24"/>
        </w:rPr>
        <w:t>Книги</w:t>
      </w:r>
    </w:p>
    <w:p w14:paraId="54798D52" w14:textId="77777777" w:rsidR="00844F96" w:rsidRPr="00C53D7B" w:rsidRDefault="00844F96" w:rsidP="00844F96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223C">
        <w:rPr>
          <w:rFonts w:ascii="Times New Roman" w:hAnsi="Times New Roman"/>
          <w:sz w:val="24"/>
          <w:szCs w:val="24"/>
        </w:rPr>
        <w:t>Афанасьев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В</w:t>
      </w:r>
      <w:r w:rsidRPr="00844F96">
        <w:rPr>
          <w:rFonts w:ascii="Times New Roman" w:hAnsi="Times New Roman"/>
          <w:sz w:val="24"/>
          <w:szCs w:val="24"/>
        </w:rPr>
        <w:t>.</w:t>
      </w:r>
      <w:r w:rsidRPr="004B223C">
        <w:rPr>
          <w:rFonts w:ascii="Times New Roman" w:hAnsi="Times New Roman"/>
          <w:sz w:val="24"/>
          <w:szCs w:val="24"/>
        </w:rPr>
        <w:t>В</w:t>
      </w:r>
      <w:r w:rsidRPr="00844F96">
        <w:rPr>
          <w:rFonts w:ascii="Times New Roman" w:hAnsi="Times New Roman"/>
          <w:sz w:val="24"/>
          <w:szCs w:val="24"/>
        </w:rPr>
        <w:t xml:space="preserve">. </w:t>
      </w:r>
      <w:r w:rsidRPr="004B223C">
        <w:rPr>
          <w:rFonts w:ascii="Times New Roman" w:hAnsi="Times New Roman"/>
          <w:sz w:val="24"/>
          <w:szCs w:val="24"/>
        </w:rPr>
        <w:t>Слюнные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железы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болезни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и</w:t>
      </w:r>
      <w:r w:rsidRPr="00844F96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травмы</w:t>
      </w:r>
      <w:r w:rsidRPr="00844F96">
        <w:rPr>
          <w:rFonts w:ascii="Times New Roman" w:hAnsi="Times New Roman"/>
          <w:sz w:val="24"/>
          <w:szCs w:val="24"/>
        </w:rPr>
        <w:t xml:space="preserve">. </w:t>
      </w:r>
      <w:r w:rsidRPr="004B223C">
        <w:rPr>
          <w:rFonts w:ascii="Times New Roman" w:hAnsi="Times New Roman"/>
          <w:sz w:val="24"/>
          <w:szCs w:val="24"/>
        </w:rPr>
        <w:t>М</w:t>
      </w:r>
      <w:r w:rsidRPr="00C53D7B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B223C">
        <w:rPr>
          <w:rFonts w:ascii="Times New Roman" w:hAnsi="Times New Roman"/>
          <w:sz w:val="24"/>
          <w:szCs w:val="24"/>
        </w:rPr>
        <w:t>ГЭОТАР</w:t>
      </w:r>
      <w:r w:rsidRPr="00C53D7B">
        <w:rPr>
          <w:rFonts w:ascii="Times New Roman" w:hAnsi="Times New Roman"/>
          <w:sz w:val="24"/>
          <w:szCs w:val="24"/>
          <w:lang w:val="en-US"/>
        </w:rPr>
        <w:t>-</w:t>
      </w:r>
      <w:r w:rsidRPr="004B223C">
        <w:rPr>
          <w:rFonts w:ascii="Times New Roman" w:hAnsi="Times New Roman"/>
          <w:sz w:val="24"/>
          <w:szCs w:val="24"/>
        </w:rPr>
        <w:t>Медиа</w:t>
      </w:r>
      <w:r w:rsidRPr="00C53D7B">
        <w:rPr>
          <w:rFonts w:ascii="Times New Roman" w:hAnsi="Times New Roman"/>
          <w:sz w:val="24"/>
          <w:szCs w:val="24"/>
          <w:lang w:val="en-US"/>
        </w:rPr>
        <w:t>; 2012</w:t>
      </w:r>
      <w:r>
        <w:rPr>
          <w:rFonts w:ascii="Times New Roman" w:hAnsi="Times New Roman"/>
          <w:sz w:val="24"/>
          <w:szCs w:val="24"/>
          <w:lang w:val="en-US"/>
        </w:rPr>
        <w:t>; 356</w:t>
      </w:r>
    </w:p>
    <w:p w14:paraId="562F57AF" w14:textId="77777777" w:rsidR="00844F96" w:rsidRPr="00C53D7B" w:rsidRDefault="00844F96" w:rsidP="00844F96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43A6B1" w14:textId="77777777" w:rsidR="00844F96" w:rsidRPr="007B69C9" w:rsidRDefault="00844F96" w:rsidP="00844F96">
      <w:pPr>
        <w:rPr>
          <w:b/>
          <w:sz w:val="24"/>
          <w:szCs w:val="24"/>
          <w:lang w:val="en-US"/>
        </w:rPr>
      </w:pPr>
      <w:r w:rsidRPr="004B223C">
        <w:rPr>
          <w:b/>
          <w:sz w:val="24"/>
          <w:szCs w:val="24"/>
        </w:rPr>
        <w:t>ИТОГО</w:t>
      </w:r>
      <w:r>
        <w:rPr>
          <w:b/>
          <w:sz w:val="24"/>
          <w:szCs w:val="24"/>
          <w:lang w:val="en-US"/>
        </w:rPr>
        <w:t>:</w:t>
      </w:r>
    </w:p>
    <w:p w14:paraId="4B5ED780" w14:textId="77777777" w:rsidR="00844F96" w:rsidRPr="007B69C9" w:rsidRDefault="00844F96" w:rsidP="00844F9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69C9">
        <w:rPr>
          <w:rFonts w:ascii="Times New Roman" w:hAnsi="Times New Roman"/>
          <w:sz w:val="24"/>
          <w:szCs w:val="24"/>
        </w:rPr>
        <w:t xml:space="preserve">Костылева О.И., Герштейн Е.С., Дигаева М.А. Инсулиноподобные факторы роста, их рецепторы и связывающие белки как патогенетические факторы и потенциальные мишени терапии в онкологии. Вопросы биологической, медицинской и фармацевтической химии. 2009; 6: 3-8 </w:t>
      </w:r>
    </w:p>
    <w:p w14:paraId="107E2571" w14:textId="77777777" w:rsidR="00844F96" w:rsidRPr="007B69C9" w:rsidRDefault="00844F96" w:rsidP="00844F96">
      <w:pPr>
        <w:ind w:left="709" w:hanging="1"/>
        <w:jc w:val="both"/>
        <w:rPr>
          <w:rFonts w:ascii="Times New Roman" w:hAnsi="Times New Roman"/>
          <w:sz w:val="24"/>
          <w:szCs w:val="24"/>
          <w:lang w:val="en-US"/>
        </w:rPr>
      </w:pPr>
      <w:r w:rsidRPr="007B69C9">
        <w:rPr>
          <w:rFonts w:ascii="Times New Roman" w:hAnsi="Times New Roman"/>
          <w:sz w:val="24"/>
          <w:szCs w:val="24"/>
          <w:lang w:val="en-US"/>
        </w:rPr>
        <w:t>[Kostyleva O.I, Gershtein E.S, Digayeva M.A. Insulin-like growth factors, their receptors and binding proteins as pathogenetic factors and potential therapy targets in oncology, Voprosy biologicheskoy, meditsinskoy i pharmacevticheskoy khimii 2009; 6: 3-8 (in Russian)]</w:t>
      </w:r>
    </w:p>
    <w:p w14:paraId="526F0EA8" w14:textId="77777777" w:rsidR="00844F96" w:rsidRPr="00C53D7B" w:rsidRDefault="00844F96" w:rsidP="00844F96">
      <w:pPr>
        <w:pStyle w:val="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223C">
        <w:rPr>
          <w:rFonts w:ascii="Times New Roman" w:hAnsi="Times New Roman"/>
          <w:sz w:val="24"/>
          <w:szCs w:val="24"/>
        </w:rPr>
        <w:t>Афанасьев</w:t>
      </w:r>
      <w:r w:rsidRPr="007B69C9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В</w:t>
      </w:r>
      <w:r w:rsidRPr="007B69C9">
        <w:rPr>
          <w:rFonts w:ascii="Times New Roman" w:hAnsi="Times New Roman"/>
          <w:sz w:val="24"/>
          <w:szCs w:val="24"/>
        </w:rPr>
        <w:t>.</w:t>
      </w:r>
      <w:r w:rsidRPr="004B223C">
        <w:rPr>
          <w:rFonts w:ascii="Times New Roman" w:hAnsi="Times New Roman"/>
          <w:sz w:val="24"/>
          <w:szCs w:val="24"/>
        </w:rPr>
        <w:t>В</w:t>
      </w:r>
      <w:r w:rsidRPr="007B69C9">
        <w:rPr>
          <w:rFonts w:ascii="Times New Roman" w:hAnsi="Times New Roman"/>
          <w:sz w:val="24"/>
          <w:szCs w:val="24"/>
        </w:rPr>
        <w:t xml:space="preserve">. </w:t>
      </w:r>
      <w:r w:rsidRPr="004B223C">
        <w:rPr>
          <w:rFonts w:ascii="Times New Roman" w:hAnsi="Times New Roman"/>
          <w:sz w:val="24"/>
          <w:szCs w:val="24"/>
        </w:rPr>
        <w:t>Слюнные</w:t>
      </w:r>
      <w:r w:rsidRPr="007B69C9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железы</w:t>
      </w:r>
      <w:r w:rsidRPr="007B69C9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болезни</w:t>
      </w:r>
      <w:r w:rsidRPr="007B69C9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и</w:t>
      </w:r>
      <w:r w:rsidRPr="007B69C9">
        <w:rPr>
          <w:rFonts w:ascii="Times New Roman" w:hAnsi="Times New Roman"/>
          <w:sz w:val="24"/>
          <w:szCs w:val="24"/>
        </w:rPr>
        <w:t xml:space="preserve"> </w:t>
      </w:r>
      <w:r w:rsidRPr="004B223C">
        <w:rPr>
          <w:rFonts w:ascii="Times New Roman" w:hAnsi="Times New Roman"/>
          <w:sz w:val="24"/>
          <w:szCs w:val="24"/>
        </w:rPr>
        <w:t>травмы</w:t>
      </w:r>
      <w:r w:rsidRPr="007B69C9">
        <w:rPr>
          <w:rFonts w:ascii="Times New Roman" w:hAnsi="Times New Roman"/>
          <w:sz w:val="24"/>
          <w:szCs w:val="24"/>
        </w:rPr>
        <w:t xml:space="preserve">. </w:t>
      </w:r>
      <w:r w:rsidRPr="004B223C">
        <w:rPr>
          <w:rFonts w:ascii="Times New Roman" w:hAnsi="Times New Roman"/>
          <w:sz w:val="24"/>
          <w:szCs w:val="24"/>
        </w:rPr>
        <w:t>М</w:t>
      </w:r>
      <w:r w:rsidRPr="00C53D7B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B223C">
        <w:rPr>
          <w:rFonts w:ascii="Times New Roman" w:hAnsi="Times New Roman"/>
          <w:sz w:val="24"/>
          <w:szCs w:val="24"/>
        </w:rPr>
        <w:t>ГЭОТАР</w:t>
      </w:r>
      <w:r w:rsidRPr="00C53D7B">
        <w:rPr>
          <w:rFonts w:ascii="Times New Roman" w:hAnsi="Times New Roman"/>
          <w:sz w:val="24"/>
          <w:szCs w:val="24"/>
          <w:lang w:val="en-US"/>
        </w:rPr>
        <w:t>-</w:t>
      </w:r>
      <w:r w:rsidRPr="004B223C">
        <w:rPr>
          <w:rFonts w:ascii="Times New Roman" w:hAnsi="Times New Roman"/>
          <w:sz w:val="24"/>
          <w:szCs w:val="24"/>
        </w:rPr>
        <w:t>Медиа</w:t>
      </w:r>
      <w:r w:rsidRPr="00C53D7B">
        <w:rPr>
          <w:rFonts w:ascii="Times New Roman" w:hAnsi="Times New Roman"/>
          <w:sz w:val="24"/>
          <w:szCs w:val="24"/>
          <w:lang w:val="en-US"/>
        </w:rPr>
        <w:t>; 2012</w:t>
      </w:r>
    </w:p>
    <w:p w14:paraId="09921C20" w14:textId="77777777" w:rsidR="00844F96" w:rsidRDefault="00844F96" w:rsidP="00844F96">
      <w:pPr>
        <w:ind w:left="709" w:hanging="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r w:rsidRPr="004B223C">
        <w:rPr>
          <w:rFonts w:ascii="Times New Roman" w:hAnsi="Times New Roman"/>
          <w:sz w:val="24"/>
          <w:szCs w:val="24"/>
          <w:lang w:val="en-US"/>
        </w:rPr>
        <w:t xml:space="preserve">Afanasyev V.V. Salivary glands diseases and traumas. </w:t>
      </w:r>
      <w:r w:rsidRPr="004B223C">
        <w:rPr>
          <w:rFonts w:ascii="Times New Roman" w:hAnsi="Times New Roman"/>
          <w:sz w:val="24"/>
          <w:szCs w:val="24"/>
        </w:rPr>
        <w:t>М</w:t>
      </w:r>
      <w:r w:rsidRPr="007B69C9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B223C">
        <w:rPr>
          <w:rFonts w:ascii="Times New Roman" w:hAnsi="Times New Roman"/>
          <w:sz w:val="24"/>
          <w:szCs w:val="24"/>
          <w:lang w:val="en-US"/>
        </w:rPr>
        <w:t>GEOTAR</w:t>
      </w:r>
      <w:r w:rsidRPr="007B69C9">
        <w:rPr>
          <w:rFonts w:ascii="Times New Roman" w:hAnsi="Times New Roman"/>
          <w:sz w:val="24"/>
          <w:szCs w:val="24"/>
          <w:lang w:val="en-US"/>
        </w:rPr>
        <w:t>-</w:t>
      </w:r>
      <w:r w:rsidRPr="004B223C">
        <w:rPr>
          <w:rFonts w:ascii="Times New Roman" w:hAnsi="Times New Roman"/>
          <w:sz w:val="24"/>
          <w:szCs w:val="24"/>
          <w:lang w:val="en-US"/>
        </w:rPr>
        <w:t>Media</w:t>
      </w:r>
      <w:r w:rsidRPr="007B69C9">
        <w:rPr>
          <w:rFonts w:ascii="Times New Roman" w:hAnsi="Times New Roman"/>
          <w:sz w:val="24"/>
          <w:szCs w:val="24"/>
          <w:lang w:val="en-US"/>
        </w:rPr>
        <w:t xml:space="preserve">; 2012; </w:t>
      </w:r>
      <w:r>
        <w:rPr>
          <w:rFonts w:ascii="Times New Roman" w:hAnsi="Times New Roman"/>
          <w:sz w:val="24"/>
          <w:szCs w:val="24"/>
          <w:lang w:val="en-US"/>
        </w:rPr>
        <w:t xml:space="preserve"> 356</w:t>
      </w:r>
      <w:r w:rsidRPr="007B69C9">
        <w:rPr>
          <w:rFonts w:ascii="Times New Roman" w:hAnsi="Times New Roman"/>
          <w:sz w:val="24"/>
          <w:szCs w:val="24"/>
          <w:lang w:val="en-US"/>
        </w:rPr>
        <w:t xml:space="preserve"> (in Russian)]</w:t>
      </w:r>
    </w:p>
    <w:p w14:paraId="454DA9FA" w14:textId="77777777" w:rsidR="00844F96" w:rsidRPr="007B69C9" w:rsidRDefault="00844F96" w:rsidP="00844F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 w:rsidRPr="007B69C9">
        <w:rPr>
          <w:rFonts w:ascii="Times New Roman" w:hAnsi="Times New Roman"/>
          <w:sz w:val="24"/>
          <w:szCs w:val="24"/>
          <w:lang w:val="en-US"/>
        </w:rPr>
        <w:t>Durai R., Yang W., Gupta S.  The role of the insulin-like growth factor system in colorectal cancer: review of current knowledge.  Int. J. Colorectal Dis. 2005; 20(3): 203-20.</w:t>
      </w:r>
    </w:p>
    <w:p w14:paraId="4F7EB80E" w14:textId="77777777" w:rsidR="00ED334C" w:rsidRDefault="00ED334C">
      <w:bookmarkStart w:id="0" w:name="_GoBack"/>
      <w:bookmarkEnd w:id="0"/>
    </w:p>
    <w:sectPr w:rsidR="00ED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91151"/>
    <w:multiLevelType w:val="hybridMultilevel"/>
    <w:tmpl w:val="5D56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96"/>
    <w:rsid w:val="00844F96"/>
    <w:rsid w:val="009C6E94"/>
    <w:rsid w:val="00ED334C"/>
    <w:rsid w:val="00F2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533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844F96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ListParagraph">
    <w:name w:val="List Paragraph"/>
    <w:basedOn w:val="Normal"/>
    <w:qFormat/>
    <w:rsid w:val="00844F96"/>
    <w:pPr>
      <w:ind w:left="720"/>
      <w:contextualSpacing/>
    </w:pPr>
  </w:style>
  <w:style w:type="paragraph" w:styleId="NormalWeb">
    <w:name w:val="Normal (Web)"/>
    <w:basedOn w:val="Normal"/>
    <w:unhideWhenUsed/>
    <w:rsid w:val="00F2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F22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rsid w:val="00844F96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paragraph" w:styleId="ListParagraph">
    <w:name w:val="List Paragraph"/>
    <w:basedOn w:val="Normal"/>
    <w:qFormat/>
    <w:rsid w:val="00844F96"/>
    <w:pPr>
      <w:ind w:left="720"/>
      <w:contextualSpacing/>
    </w:pPr>
  </w:style>
  <w:style w:type="paragraph" w:styleId="NormalWeb">
    <w:name w:val="Normal (Web)"/>
    <w:basedOn w:val="Normal"/>
    <w:unhideWhenUsed/>
    <w:rsid w:val="00F2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rsid w:val="00F22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Машевская</dc:creator>
  <cp:lastModifiedBy>Alexander Miskaryan</cp:lastModifiedBy>
  <cp:revision>3</cp:revision>
  <dcterms:created xsi:type="dcterms:W3CDTF">2014-06-18T08:03:00Z</dcterms:created>
  <dcterms:modified xsi:type="dcterms:W3CDTF">2014-06-19T12:52:00Z</dcterms:modified>
</cp:coreProperties>
</file>